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4EA1F95D" w:rsidR="00F97DAF" w:rsidRPr="00C34FC1" w:rsidRDefault="00C34FC1" w:rsidP="00C34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Top 3 S197 Panhard Bars from </w:t>
      </w:r>
      <w:proofErr w:type="spellStart"/>
      <w:r>
        <w:rPr>
          <w:b/>
          <w:sz w:val="32"/>
          <w:szCs w:val="32"/>
        </w:rPr>
        <w:t>AmericanMuscle</w:t>
      </w:r>
      <w:proofErr w:type="spellEnd"/>
      <w:r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>Best-of Options for your 2005-2014 Mustang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08DF6B5C" w:rsidR="008004CC" w:rsidRPr="008E25B4" w:rsidRDefault="00B9688D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 w:rsidRPr="008E25B4">
        <w:rPr>
          <w:rStyle w:val="Hyperlink"/>
          <w:rFonts w:cs="Times New Roman"/>
          <w:color w:val="auto"/>
          <w:sz w:val="20"/>
          <w:szCs w:val="20"/>
          <w:u w:val="none"/>
        </w:rPr>
        <w:t>Landing</w:t>
      </w:r>
      <w:r w:rsidR="0094442B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Page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="00665E54" w:rsidRPr="00C15F4F">
          <w:rPr>
            <w:rStyle w:val="Hyperlink"/>
            <w:rFonts w:cs="Times New Roman"/>
            <w:sz w:val="20"/>
            <w:szCs w:val="20"/>
          </w:rPr>
          <w:t>https://www.americanmuscle.com/everything-about-mustang-panhard-bars.html</w:t>
        </w:r>
      </w:hyperlink>
      <w:r w:rsidR="00665E5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7189947A" w:rsidR="00DC6D14" w:rsidRDefault="00F97DAF" w:rsidP="00F97DAF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C34FC1">
        <w:rPr>
          <w:rFonts w:cs="Times New Roman"/>
          <w:b/>
          <w:color w:val="000000"/>
        </w:rPr>
        <w:t>June</w:t>
      </w:r>
      <w:r>
        <w:rPr>
          <w:rFonts w:cs="Times New Roman"/>
          <w:b/>
          <w:color w:val="000000"/>
        </w:rPr>
        <w:t xml:space="preserve"> </w:t>
      </w:r>
      <w:r w:rsidR="00C34FC1">
        <w:rPr>
          <w:rFonts w:cs="Times New Roman"/>
          <w:b/>
          <w:color w:val="000000"/>
        </w:rPr>
        <w:t>12</w:t>
      </w:r>
      <w:r w:rsidR="004260DE">
        <w:rPr>
          <w:rFonts w:cs="Times New Roman"/>
          <w:b/>
          <w:color w:val="000000"/>
        </w:rPr>
        <w:t xml:space="preserve">, </w:t>
      </w:r>
      <w:r w:rsidR="00C34FC1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>)</w:t>
      </w:r>
      <w:r w:rsidR="00C34FC1">
        <w:rPr>
          <w:rFonts w:cs="Times New Roman"/>
          <w:b/>
          <w:color w:val="000000"/>
        </w:rPr>
        <w:t xml:space="preserve"> – </w:t>
      </w:r>
      <w:r w:rsidR="00C34FC1">
        <w:rPr>
          <w:rFonts w:cs="Times New Roman"/>
          <w:color w:val="000000"/>
        </w:rPr>
        <w:t>For all of the Mustang purists out there piloting their ‘</w:t>
      </w:r>
      <w:proofErr w:type="spellStart"/>
      <w:r w:rsidR="00C34FC1">
        <w:rPr>
          <w:rFonts w:cs="Times New Roman"/>
          <w:color w:val="000000"/>
        </w:rPr>
        <w:t>Stang</w:t>
      </w:r>
      <w:proofErr w:type="spellEnd"/>
      <w:r w:rsidR="00C34FC1">
        <w:rPr>
          <w:rFonts w:cs="Times New Roman"/>
          <w:color w:val="000000"/>
        </w:rPr>
        <w:t xml:space="preserve"> through a traditional live-axle rear end, </w:t>
      </w:r>
      <w:proofErr w:type="spellStart"/>
      <w:r w:rsidR="00C34FC1">
        <w:rPr>
          <w:rFonts w:cs="Times New Roman"/>
          <w:color w:val="000000"/>
        </w:rPr>
        <w:t>AmericanMuscle’s</w:t>
      </w:r>
      <w:proofErr w:type="spellEnd"/>
      <w:r w:rsidR="00C34FC1">
        <w:rPr>
          <w:rFonts w:cs="Times New Roman"/>
          <w:color w:val="000000"/>
        </w:rPr>
        <w:t xml:space="preserve"> (AM) Justin Dugan produced this ‘Best of’ video featuring three popular Panhard Bars for 2005-2014 S197 Mustangs. For those not in the know, a</w:t>
      </w:r>
      <w:r w:rsidR="00330BDD">
        <w:rPr>
          <w:rFonts w:cs="Times New Roman"/>
          <w:color w:val="000000"/>
        </w:rPr>
        <w:t xml:space="preserve">n </w:t>
      </w:r>
      <w:hyperlink r:id="rId8" w:history="1">
        <w:r w:rsidR="00330BDD" w:rsidRPr="00A12D72">
          <w:rPr>
            <w:rStyle w:val="Hyperlink"/>
            <w:rFonts w:cs="Times New Roman"/>
          </w:rPr>
          <w:t>adjustable</w:t>
        </w:r>
        <w:r w:rsidR="00C34FC1" w:rsidRPr="00A12D72">
          <w:rPr>
            <w:rStyle w:val="Hyperlink"/>
            <w:rFonts w:cs="Times New Roman"/>
          </w:rPr>
          <w:t xml:space="preserve"> Panhard Bar</w:t>
        </w:r>
      </w:hyperlink>
      <w:r w:rsidR="00C34FC1">
        <w:rPr>
          <w:rFonts w:cs="Times New Roman"/>
          <w:color w:val="000000"/>
        </w:rPr>
        <w:t xml:space="preserve"> </w:t>
      </w:r>
      <w:r w:rsidR="00330BDD">
        <w:rPr>
          <w:rFonts w:cs="Times New Roman"/>
          <w:color w:val="000000"/>
        </w:rPr>
        <w:t xml:space="preserve">is a vital link on a lowered S197; re-centering the rear axle to </w:t>
      </w:r>
      <w:r w:rsidR="00991C48">
        <w:rPr>
          <w:rFonts w:cs="Times New Roman"/>
          <w:color w:val="000000"/>
        </w:rPr>
        <w:t>maintain safe</w:t>
      </w:r>
      <w:r w:rsidR="00330BDD">
        <w:rPr>
          <w:rFonts w:cs="Times New Roman"/>
          <w:color w:val="000000"/>
        </w:rPr>
        <w:t xml:space="preserve"> alignment specs, like thrust angle, in place as well as controlling lateral </w:t>
      </w:r>
      <w:r w:rsidR="00991C48">
        <w:rPr>
          <w:rFonts w:cs="Times New Roman"/>
          <w:color w:val="000000"/>
        </w:rPr>
        <w:t xml:space="preserve">axle </w:t>
      </w:r>
      <w:r w:rsidR="00330BDD">
        <w:rPr>
          <w:rFonts w:cs="Times New Roman"/>
          <w:color w:val="000000"/>
        </w:rPr>
        <w:t>movement</w:t>
      </w:r>
      <w:r w:rsidR="00991C48">
        <w:rPr>
          <w:rFonts w:cs="Times New Roman"/>
          <w:color w:val="000000"/>
        </w:rPr>
        <w:t>. Other benefits to this modification include reduced wheel hop, improved traction, as well as added handling ability.</w:t>
      </w:r>
    </w:p>
    <w:p w14:paraId="7F6C0F54" w14:textId="77777777" w:rsidR="00665E54" w:rsidRDefault="00330BDD" w:rsidP="00F97DA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In this video, Justin selects ‘good’, ‘better’, and ‘best’ option</w:t>
      </w:r>
      <w:r w:rsidR="00991C48">
        <w:rPr>
          <w:rFonts w:cs="Times New Roman"/>
          <w:color w:val="000000"/>
        </w:rPr>
        <w:t xml:space="preserve">s from AM’s catalog of </w:t>
      </w:r>
      <w:hyperlink r:id="rId9" w:history="1">
        <w:r w:rsidR="00991C48" w:rsidRPr="00991C48">
          <w:rPr>
            <w:rStyle w:val="Hyperlink"/>
            <w:rFonts w:cs="Times New Roman"/>
          </w:rPr>
          <w:t>Mustang suspension parts</w:t>
        </w:r>
      </w:hyperlink>
      <w:r w:rsidR="00991C48">
        <w:rPr>
          <w:rFonts w:cs="Times New Roman"/>
          <w:color w:val="000000"/>
        </w:rPr>
        <w:t xml:space="preserve">, discussing their construction and materials used, weighing pros and cons, cost, </w:t>
      </w:r>
      <w:r w:rsidR="00A12D72">
        <w:rPr>
          <w:rFonts w:cs="Times New Roman"/>
          <w:color w:val="000000"/>
        </w:rPr>
        <w:t>and why you might choose one over the other.</w:t>
      </w:r>
    </w:p>
    <w:p w14:paraId="3A4CA6E6" w14:textId="20BFF6CE" w:rsidR="00A12D72" w:rsidRDefault="00A12D72" w:rsidP="00F97DA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Additionally, this video has been included as a resource in AM’s Panhard Bars technical guide.</w:t>
      </w:r>
    </w:p>
    <w:p w14:paraId="1D59BC65" w14:textId="07F7F97E" w:rsidR="00A12D72" w:rsidRPr="00A12D72" w:rsidRDefault="00A12D72" w:rsidP="00F97DAF">
      <w:pPr>
        <w:rPr>
          <w:rFonts w:cs="Times New Roman"/>
          <w:b/>
          <w:color w:val="000000"/>
        </w:rPr>
      </w:pPr>
      <w:r w:rsidRPr="00A12D72">
        <w:rPr>
          <w:rFonts w:cs="Times New Roman"/>
          <w:b/>
          <w:color w:val="000000"/>
        </w:rPr>
        <w:t xml:space="preserve">View it here: </w:t>
      </w:r>
      <w:hyperlink r:id="rId10" w:history="1">
        <w:r w:rsidRPr="00A12D72">
          <w:rPr>
            <w:rStyle w:val="Hyperlink"/>
            <w:b/>
          </w:rPr>
          <w:t>https://www.americanmuscle.com/everything-about-mustang-panhard-bars.html</w:t>
        </w:r>
      </w:hyperlink>
      <w:r w:rsidRPr="00A12D72">
        <w:rPr>
          <w:b/>
        </w:rPr>
        <w:t xml:space="preserve"> </w:t>
      </w:r>
    </w:p>
    <w:p w14:paraId="41F5F340" w14:textId="2A8AC13C" w:rsidR="00A12D72" w:rsidRPr="00A12D72" w:rsidRDefault="00A12D72" w:rsidP="00F97DAF">
      <w:pPr>
        <w:rPr>
          <w:rFonts w:cs="Times New Roman"/>
          <w:b/>
          <w:color w:val="000000"/>
        </w:rPr>
      </w:pPr>
      <w:r w:rsidRPr="00A12D72">
        <w:rPr>
          <w:rFonts w:cs="Times New Roman"/>
          <w:b/>
          <w:color w:val="000000"/>
        </w:rPr>
        <w:t xml:space="preserve">Products featured in this video include: </w:t>
      </w:r>
      <w:hyperlink r:id="rId11" w:history="1">
        <w:r w:rsidRPr="00A12D72">
          <w:rPr>
            <w:rStyle w:val="Hyperlink"/>
            <w:rFonts w:cs="Times New Roman"/>
            <w:b/>
          </w:rPr>
          <w:t>SR Performance Double Adjustable Panhard Bar</w:t>
        </w:r>
      </w:hyperlink>
      <w:r w:rsidRPr="00A12D72">
        <w:rPr>
          <w:rFonts w:cs="Times New Roman"/>
          <w:b/>
          <w:color w:val="000000"/>
        </w:rPr>
        <w:t xml:space="preserve">, </w:t>
      </w:r>
      <w:hyperlink r:id="rId12" w:history="1">
        <w:proofErr w:type="spellStart"/>
        <w:r w:rsidRPr="00A12D72">
          <w:rPr>
            <w:rStyle w:val="Hyperlink"/>
            <w:rFonts w:cs="Times New Roman"/>
            <w:b/>
          </w:rPr>
          <w:t>Whiteline</w:t>
        </w:r>
        <w:proofErr w:type="spellEnd"/>
        <w:r w:rsidRPr="00A12D72">
          <w:rPr>
            <w:rStyle w:val="Hyperlink"/>
            <w:rFonts w:cs="Times New Roman"/>
            <w:b/>
          </w:rPr>
          <w:t xml:space="preserve"> Adjustable Panhard Bar</w:t>
        </w:r>
      </w:hyperlink>
      <w:r w:rsidRPr="00A12D72">
        <w:rPr>
          <w:rFonts w:cs="Times New Roman"/>
          <w:b/>
          <w:color w:val="000000"/>
        </w:rPr>
        <w:t xml:space="preserve">, </w:t>
      </w:r>
      <w:hyperlink r:id="rId13" w:history="1">
        <w:r w:rsidRPr="00A12D72">
          <w:rPr>
            <w:rStyle w:val="Hyperlink"/>
            <w:rFonts w:cs="Times New Roman"/>
            <w:b/>
          </w:rPr>
          <w:t xml:space="preserve">and BMR Adjustable Panhard Bar – </w:t>
        </w:r>
        <w:proofErr w:type="spellStart"/>
        <w:r w:rsidRPr="00A12D72">
          <w:rPr>
            <w:rStyle w:val="Hyperlink"/>
            <w:rFonts w:cs="Times New Roman"/>
            <w:b/>
          </w:rPr>
          <w:t>Hammertone</w:t>
        </w:r>
        <w:proofErr w:type="spellEnd"/>
      </w:hyperlink>
      <w:r w:rsidRPr="00A12D72">
        <w:rPr>
          <w:rFonts w:cs="Times New Roman"/>
          <w:b/>
          <w:color w:val="000000"/>
        </w:rPr>
        <w:t xml:space="preserve">.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438E8A6C" w14:textId="4E61212F" w:rsidR="00665E54" w:rsidRPr="00665E54" w:rsidRDefault="00F245B3" w:rsidP="00B700A3">
      <w:pPr>
        <w:rPr>
          <w:rFonts w:cs="Times New Roman"/>
          <w:color w:val="000000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AmericanMuscle</w:t>
      </w:r>
      <w:proofErr w:type="spellEnd"/>
      <w:r w:rsidR="00A12D72">
        <w:rPr>
          <w:rFonts w:cs="Times New Roman"/>
          <w:b/>
          <w:color w:val="000000"/>
          <w:sz w:val="24"/>
          <w:szCs w:val="24"/>
          <w:u w:val="single"/>
        </w:rPr>
        <w:br/>
      </w:r>
      <w:r w:rsidRPr="00A12D72">
        <w:rPr>
          <w:rFonts w:cs="Times New Roman"/>
          <w:color w:val="000000"/>
          <w:sz w:val="20"/>
          <w:szCs w:val="20"/>
        </w:rPr>
        <w:t xml:space="preserve">Starting out in 2003, AmericanMuscle quickly rose to be one of the leading aftermarket Mustang parts providers in the business. </w:t>
      </w:r>
      <w:r w:rsidR="00291028" w:rsidRPr="00A12D72">
        <w:rPr>
          <w:rFonts w:cs="Times New Roman"/>
          <w:color w:val="000000"/>
          <w:sz w:val="20"/>
          <w:szCs w:val="20"/>
        </w:rPr>
        <w:t>With the addition of Challenger in 2018</w:t>
      </w:r>
      <w:r w:rsidRPr="00A12D72">
        <w:rPr>
          <w:rFonts w:cs="Times New Roman"/>
          <w:color w:val="000000"/>
          <w:sz w:val="20"/>
          <w:szCs w:val="20"/>
        </w:rPr>
        <w:t xml:space="preserve">, AmericanMuscle provides the most </w:t>
      </w:r>
      <w:r w:rsidR="00291028" w:rsidRPr="00A12D72">
        <w:rPr>
          <w:rFonts w:cs="Times New Roman"/>
          <w:color w:val="000000"/>
          <w:sz w:val="20"/>
          <w:szCs w:val="20"/>
        </w:rPr>
        <w:t>sought-after parts, accessories, and fast shipping</w:t>
      </w:r>
      <w:r w:rsidRPr="00A12D72">
        <w:rPr>
          <w:rFonts w:cs="Times New Roman"/>
          <w:color w:val="000000"/>
          <w:sz w:val="20"/>
          <w:szCs w:val="20"/>
        </w:rPr>
        <w:t xml:space="preserve">. Located just outside of Philadelphia, AmericanMuscle is dedicated to </w:t>
      </w:r>
      <w:r w:rsidR="006A601F" w:rsidRPr="00A12D72">
        <w:rPr>
          <w:rFonts w:cs="Times New Roman"/>
          <w:color w:val="000000"/>
          <w:sz w:val="20"/>
          <w:szCs w:val="20"/>
        </w:rPr>
        <w:t>offering</w:t>
      </w:r>
      <w:r w:rsidRPr="00A12D72">
        <w:rPr>
          <w:rFonts w:cs="Times New Roman"/>
          <w:color w:val="000000"/>
          <w:sz w:val="20"/>
          <w:szCs w:val="20"/>
        </w:rPr>
        <w:t xml:space="preserve"> the Mustang </w:t>
      </w:r>
      <w:r w:rsidR="00291028" w:rsidRPr="00A12D72">
        <w:rPr>
          <w:rFonts w:cs="Times New Roman"/>
          <w:color w:val="000000"/>
          <w:sz w:val="20"/>
          <w:szCs w:val="20"/>
        </w:rPr>
        <w:t xml:space="preserve">and Challenger </w:t>
      </w:r>
      <w:r w:rsidRPr="00A12D72">
        <w:rPr>
          <w:rFonts w:cs="Times New Roman"/>
          <w:color w:val="000000"/>
          <w:sz w:val="20"/>
          <w:szCs w:val="20"/>
        </w:rPr>
        <w:t>communit</w:t>
      </w:r>
      <w:r w:rsidR="00291028" w:rsidRPr="00A12D72">
        <w:rPr>
          <w:rFonts w:cs="Times New Roman"/>
          <w:color w:val="000000"/>
          <w:sz w:val="20"/>
          <w:szCs w:val="20"/>
        </w:rPr>
        <w:t>ies</w:t>
      </w:r>
      <w:r w:rsidR="006A601F" w:rsidRPr="00A12D72">
        <w:rPr>
          <w:rFonts w:cs="Times New Roman"/>
          <w:color w:val="000000"/>
          <w:sz w:val="20"/>
          <w:szCs w:val="20"/>
        </w:rPr>
        <w:t xml:space="preserve"> with the highest </w:t>
      </w:r>
      <w:r w:rsidR="00291028" w:rsidRPr="00A12D72">
        <w:rPr>
          <w:rFonts w:cs="Times New Roman"/>
          <w:color w:val="000000"/>
          <w:sz w:val="20"/>
          <w:szCs w:val="20"/>
        </w:rPr>
        <w:t>level of customer</w:t>
      </w:r>
      <w:r w:rsidR="006A601F" w:rsidRPr="00A12D72">
        <w:rPr>
          <w:rFonts w:cs="Times New Roman"/>
          <w:color w:val="000000"/>
          <w:sz w:val="20"/>
          <w:szCs w:val="20"/>
        </w:rPr>
        <w:t xml:space="preserve"> service. Please visit </w:t>
      </w:r>
      <w:hyperlink r:id="rId14" w:history="1">
        <w:r w:rsidR="006A601F" w:rsidRPr="00A12D72">
          <w:rPr>
            <w:rStyle w:val="Hyperlink"/>
            <w:rFonts w:cs="Times New Roman"/>
            <w:sz w:val="20"/>
            <w:szCs w:val="20"/>
          </w:rPr>
          <w:t>http://www.AmericanMuscle.com</w:t>
        </w:r>
      </w:hyperlink>
      <w:r w:rsidR="006A601F" w:rsidRPr="00A12D72">
        <w:rPr>
          <w:rFonts w:cs="Times New Roman"/>
          <w:color w:val="000000"/>
          <w:sz w:val="20"/>
          <w:szCs w:val="20"/>
        </w:rPr>
        <w:t xml:space="preserve"> for more information.</w:t>
      </w:r>
      <w:r w:rsidR="006A601F" w:rsidRPr="008E25B4">
        <w:rPr>
          <w:rFonts w:cs="Times New Roman"/>
          <w:color w:val="000000"/>
        </w:rPr>
        <w:t xml:space="preserve"> </w:t>
      </w:r>
    </w:p>
    <w:p w14:paraId="19688DB8" w14:textId="168E4B93" w:rsidR="00B700A3" w:rsidRPr="00B83217" w:rsidRDefault="00B700A3" w:rsidP="00B83217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4CA1182E" w14:textId="6EE82F63" w:rsidR="0022004E" w:rsidRPr="00A12D72" w:rsidRDefault="00B700A3" w:rsidP="00A12D72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B83217">
        <w:rPr>
          <w:rFonts w:ascii="Calibri Light" w:hAnsi="Calibri Light"/>
          <w:color w:val="000000" w:themeColor="text1"/>
        </w:rPr>
        <w:tab/>
        <w:t xml:space="preserve">  </w:t>
      </w:r>
      <w:r w:rsidR="00B83217"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B83217">
        <w:rPr>
          <w:rFonts w:ascii="Calibri Light" w:hAnsi="Calibri Light"/>
          <w:color w:val="000000" w:themeColor="text1"/>
        </w:rPr>
        <w:tab/>
      </w:r>
      <w:bookmarkStart w:id="0" w:name="_GoBack"/>
      <w:bookmarkEnd w:id="0"/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A12D72" w:rsidSect="00990105">
      <w:headerReference w:type="default" r:id="rId18"/>
      <w:footerReference w:type="default" r:id="rId19"/>
      <w:headerReference w:type="first" r:id="rId20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665E54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30BDD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5E54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3365A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91C48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12D72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83217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4FC1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1">
    <w:name w:val="heading 1"/>
    <w:basedOn w:val="Normal"/>
    <w:next w:val="Normal"/>
    <w:link w:val="Heading1Char"/>
    <w:uiPriority w:val="9"/>
    <w:qFormat/>
    <w:rsid w:val="00A12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12D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mustang-panhard-bars.html" TargetMode="External"/><Relationship Id="rId13" Type="http://schemas.openxmlformats.org/officeDocument/2006/relationships/hyperlink" Target="https://www.americanmuscle.com/bmr-adj-panhard-0512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mericanmuscle.com/everything-about-mustang-panhard-bars.html" TargetMode="External"/><Relationship Id="rId12" Type="http://schemas.openxmlformats.org/officeDocument/2006/relationships/hyperlink" Target="https://www.americanmuscle.com/whiteline-adj-panhardbar-0514.htm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sr-adj-panhard-0514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10" Type="http://schemas.openxmlformats.org/officeDocument/2006/relationships/hyperlink" Target="https://www.americanmuscle.com/everything-about-mustang-panhard-bars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suspension.html" TargetMode="External"/><Relationship Id="rId14" Type="http://schemas.openxmlformats.org/officeDocument/2006/relationships/hyperlink" Target="http://www.AmericanMuscle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3</cp:revision>
  <cp:lastPrinted>2015-05-20T19:04:00Z</cp:lastPrinted>
  <dcterms:created xsi:type="dcterms:W3CDTF">2019-06-12T19:53:00Z</dcterms:created>
  <dcterms:modified xsi:type="dcterms:W3CDTF">2019-06-13T13:29:00Z</dcterms:modified>
</cp:coreProperties>
</file>