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AA" w:rsidRDefault="000A12AA" w:rsidP="000A12AA">
      <w:pPr>
        <w:pStyle w:val="NoSpacing"/>
        <w:jc w:val="center"/>
        <w:rPr>
          <w:rFonts w:ascii="Georgia" w:hAnsi="Georgia" w:cs="Times New Roman"/>
          <w:b/>
          <w:color w:val="FF0000"/>
          <w:sz w:val="24"/>
          <w:szCs w:val="24"/>
        </w:rPr>
      </w:pPr>
      <w:r>
        <w:rPr>
          <w:rFonts w:ascii="Georgia" w:hAnsi="Georgia" w:cs="Times New Roman"/>
          <w:b/>
          <w:noProof/>
          <w:color w:val="FF0000"/>
          <w:sz w:val="24"/>
          <w:szCs w:val="24"/>
        </w:rPr>
        <w:drawing>
          <wp:inline distT="0" distB="0" distL="0" distR="0">
            <wp:extent cx="6857994" cy="105155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 Release Header - solid b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7994" cy="1051559"/>
                    </a:xfrm>
                    <a:prstGeom prst="rect">
                      <a:avLst/>
                    </a:prstGeom>
                  </pic:spPr>
                </pic:pic>
              </a:graphicData>
            </a:graphic>
          </wp:inline>
        </w:drawing>
      </w:r>
    </w:p>
    <w:p w:rsidR="000A12AA" w:rsidRDefault="000A12AA" w:rsidP="000A12AA">
      <w:pPr>
        <w:pStyle w:val="NoSpacing"/>
        <w:jc w:val="left"/>
        <w:rPr>
          <w:rFonts w:ascii="Georgia" w:hAnsi="Georgia" w:cs="Times New Roman"/>
          <w:b/>
          <w:color w:val="FF0000"/>
          <w:sz w:val="24"/>
          <w:szCs w:val="24"/>
        </w:rPr>
      </w:pPr>
    </w:p>
    <w:p w:rsidR="000A12AA" w:rsidRDefault="000A12AA" w:rsidP="000A12AA">
      <w:pPr>
        <w:pStyle w:val="NoSpacing"/>
        <w:jc w:val="left"/>
        <w:rPr>
          <w:rFonts w:ascii="Georgia" w:hAnsi="Georgia" w:cs="Times New Roman"/>
          <w:b/>
          <w:color w:val="FF0000"/>
          <w:sz w:val="24"/>
          <w:szCs w:val="24"/>
        </w:rPr>
      </w:pPr>
    </w:p>
    <w:p w:rsidR="000A12AA" w:rsidRDefault="000A12AA" w:rsidP="000A12AA">
      <w:pPr>
        <w:pStyle w:val="NoSpacing"/>
        <w:jc w:val="left"/>
        <w:rPr>
          <w:rFonts w:ascii="Georgia" w:hAnsi="Georgia" w:cs="Times New Roman"/>
          <w:b/>
          <w:color w:val="FF0000"/>
          <w:sz w:val="24"/>
          <w:szCs w:val="24"/>
        </w:rPr>
      </w:pPr>
    </w:p>
    <w:p w:rsidR="00DB625C" w:rsidRDefault="000A12AA" w:rsidP="000A12AA">
      <w:pPr>
        <w:pStyle w:val="NoSpacing"/>
        <w:jc w:val="left"/>
        <w:rPr>
          <w:rFonts w:ascii="Georgia" w:hAnsi="Georgia" w:cs="Times New Roman"/>
          <w:b/>
          <w:color w:val="FF0000"/>
          <w:sz w:val="24"/>
          <w:szCs w:val="24"/>
        </w:rPr>
      </w:pPr>
      <w:r>
        <w:rPr>
          <w:rFonts w:ascii="Georgia" w:hAnsi="Georgia" w:cs="Times New Roman"/>
          <w:b/>
          <w:color w:val="FF0000"/>
          <w:sz w:val="24"/>
          <w:szCs w:val="24"/>
        </w:rPr>
        <w:t xml:space="preserve">FOR IMMEDIATE RELEASE                                                                   </w:t>
      </w:r>
    </w:p>
    <w:p w:rsidR="00026952" w:rsidRDefault="00427D6E" w:rsidP="00026952">
      <w:pPr>
        <w:pStyle w:val="NoSpacing"/>
        <w:jc w:val="left"/>
        <w:rPr>
          <w:rFonts w:ascii="Georgia" w:hAnsi="Georgia" w:cs="Times New Roman"/>
          <w:sz w:val="24"/>
          <w:szCs w:val="24"/>
        </w:rPr>
      </w:pPr>
      <w:r>
        <w:rPr>
          <w:rFonts w:ascii="Georgia" w:hAnsi="Georgia" w:cs="Times New Roman"/>
          <w:sz w:val="24"/>
          <w:szCs w:val="24"/>
        </w:rPr>
        <w:t>October 21</w:t>
      </w:r>
      <w:r w:rsidR="00026952">
        <w:rPr>
          <w:rFonts w:ascii="Georgia" w:hAnsi="Georgia" w:cs="Times New Roman"/>
          <w:sz w:val="24"/>
          <w:szCs w:val="24"/>
        </w:rPr>
        <w:t>, 2020</w:t>
      </w:r>
    </w:p>
    <w:p w:rsidR="00026952" w:rsidRDefault="00026952" w:rsidP="00026952">
      <w:pPr>
        <w:pStyle w:val="NoSpacing"/>
        <w:rPr>
          <w:rFonts w:ascii="Georgia" w:hAnsi="Georgia" w:cs="Times New Roman"/>
          <w:b/>
          <w:color w:val="FF0000"/>
          <w:sz w:val="24"/>
          <w:szCs w:val="24"/>
        </w:rPr>
      </w:pPr>
      <w:r>
        <w:rPr>
          <w:rFonts w:ascii="Georgia" w:hAnsi="Georgia" w:cs="Times New Roman"/>
          <w:b/>
          <w:color w:val="FF0000"/>
          <w:sz w:val="24"/>
          <w:szCs w:val="24"/>
        </w:rPr>
        <w:t xml:space="preserve"> </w:t>
      </w:r>
    </w:p>
    <w:p w:rsidR="00026952" w:rsidRDefault="00026952" w:rsidP="00026952">
      <w:pPr>
        <w:spacing w:after="0" w:line="240" w:lineRule="auto"/>
        <w:jc w:val="left"/>
        <w:rPr>
          <w:rFonts w:ascii="Georgia" w:hAnsi="Georgia" w:cs="Times New Roman"/>
          <w:b/>
          <w:sz w:val="28"/>
          <w:szCs w:val="28"/>
        </w:rPr>
      </w:pPr>
    </w:p>
    <w:p w:rsidR="00026952" w:rsidRDefault="00026952" w:rsidP="00026952">
      <w:pPr>
        <w:spacing w:before="100" w:beforeAutospacing="1" w:after="15" w:line="240" w:lineRule="auto"/>
        <w:contextualSpacing/>
        <w:jc w:val="center"/>
        <w:outlineLvl w:val="1"/>
        <w:rPr>
          <w:rFonts w:ascii="Georgia" w:eastAsia="Times New Roman" w:hAnsi="Georgia" w:cs="Segoe UI Semilight"/>
          <w:b/>
          <w:color w:val="262626"/>
          <w:sz w:val="28"/>
          <w:szCs w:val="28"/>
          <w:lang w:val="en"/>
        </w:rPr>
      </w:pPr>
      <w:r>
        <w:rPr>
          <w:rFonts w:ascii="Georgia" w:eastAsia="Times New Roman" w:hAnsi="Georgia" w:cs="Segoe UI Semilight"/>
          <w:b/>
          <w:color w:val="262626"/>
          <w:sz w:val="28"/>
          <w:szCs w:val="28"/>
          <w:lang w:val="en"/>
        </w:rPr>
        <w:t>OPPORTUNITY FOR PUBLIC COMMENT</w:t>
      </w:r>
      <w:r w:rsidRPr="0055615D">
        <w:rPr>
          <w:rFonts w:ascii="Georgia" w:eastAsia="Times New Roman" w:hAnsi="Georgia" w:cs="Segoe UI Semilight"/>
          <w:b/>
          <w:color w:val="262626"/>
          <w:sz w:val="28"/>
          <w:szCs w:val="28"/>
          <w:lang w:val="en"/>
        </w:rPr>
        <w:t xml:space="preserve"> </w:t>
      </w:r>
    </w:p>
    <w:p w:rsidR="00026952" w:rsidRDefault="00026952" w:rsidP="00026952">
      <w:pPr>
        <w:spacing w:before="100" w:beforeAutospacing="1" w:after="15" w:line="240" w:lineRule="auto"/>
        <w:contextualSpacing/>
        <w:jc w:val="center"/>
        <w:outlineLvl w:val="1"/>
        <w:rPr>
          <w:rFonts w:ascii="Georgia" w:eastAsia="Times New Roman" w:hAnsi="Georgia" w:cs="Segoe UI Semilight"/>
          <w:b/>
          <w:color w:val="262626"/>
          <w:sz w:val="28"/>
          <w:szCs w:val="28"/>
          <w:lang w:val="en"/>
        </w:rPr>
      </w:pPr>
      <w:r>
        <w:rPr>
          <w:rFonts w:ascii="Georgia" w:eastAsia="Times New Roman" w:hAnsi="Georgia" w:cs="Segoe UI Semilight"/>
          <w:b/>
          <w:color w:val="262626"/>
          <w:sz w:val="28"/>
          <w:szCs w:val="28"/>
          <w:lang w:val="en"/>
        </w:rPr>
        <w:t>on</w:t>
      </w:r>
      <w:r w:rsidRPr="0055615D">
        <w:rPr>
          <w:rFonts w:ascii="Georgia" w:eastAsia="Times New Roman" w:hAnsi="Georgia" w:cs="Segoe UI Semilight"/>
          <w:b/>
          <w:color w:val="262626"/>
          <w:sz w:val="28"/>
          <w:szCs w:val="28"/>
          <w:lang w:val="en"/>
        </w:rPr>
        <w:t xml:space="preserve"> </w:t>
      </w:r>
    </w:p>
    <w:p w:rsidR="00026952" w:rsidRDefault="00026952" w:rsidP="00026952">
      <w:pPr>
        <w:spacing w:before="100" w:beforeAutospacing="1" w:after="15" w:line="240" w:lineRule="auto"/>
        <w:contextualSpacing/>
        <w:jc w:val="center"/>
        <w:outlineLvl w:val="1"/>
        <w:rPr>
          <w:rFonts w:ascii="Georgia" w:eastAsia="Times New Roman" w:hAnsi="Georgia" w:cs="Segoe UI Semilight"/>
          <w:b/>
          <w:color w:val="262626"/>
          <w:sz w:val="28"/>
          <w:szCs w:val="28"/>
          <w:lang w:val="en"/>
        </w:rPr>
      </w:pPr>
      <w:r>
        <w:rPr>
          <w:rFonts w:ascii="Georgia" w:eastAsia="Times New Roman" w:hAnsi="Georgia" w:cs="Segoe UI Semilight"/>
          <w:b/>
          <w:color w:val="262626"/>
          <w:sz w:val="28"/>
          <w:szCs w:val="28"/>
          <w:lang w:val="en"/>
        </w:rPr>
        <w:t xml:space="preserve">Draft </w:t>
      </w:r>
      <w:r w:rsidRPr="0055615D">
        <w:rPr>
          <w:rFonts w:ascii="Georgia" w:eastAsia="Times New Roman" w:hAnsi="Georgia" w:cs="Segoe UI Semilight"/>
          <w:b/>
          <w:color w:val="262626"/>
          <w:sz w:val="28"/>
          <w:szCs w:val="28"/>
          <w:lang w:val="en"/>
        </w:rPr>
        <w:t xml:space="preserve">Section 106 Programmatic Agreement </w:t>
      </w:r>
      <w:r>
        <w:rPr>
          <w:rFonts w:ascii="Georgia" w:eastAsia="Times New Roman" w:hAnsi="Georgia" w:cs="Segoe UI Semilight"/>
          <w:b/>
          <w:color w:val="262626"/>
          <w:sz w:val="28"/>
          <w:szCs w:val="28"/>
          <w:lang w:val="en"/>
        </w:rPr>
        <w:t xml:space="preserve">between </w:t>
      </w:r>
    </w:p>
    <w:p w:rsidR="00026952" w:rsidRPr="0055615D" w:rsidRDefault="00026952" w:rsidP="00026952">
      <w:pPr>
        <w:spacing w:before="100" w:beforeAutospacing="1" w:after="15" w:line="240" w:lineRule="auto"/>
        <w:contextualSpacing/>
        <w:jc w:val="center"/>
        <w:outlineLvl w:val="1"/>
        <w:rPr>
          <w:rFonts w:ascii="Georgia" w:eastAsia="Times New Roman" w:hAnsi="Georgia" w:cs="Segoe UI Semilight"/>
          <w:b/>
          <w:color w:val="262626"/>
          <w:sz w:val="28"/>
          <w:szCs w:val="28"/>
          <w:lang w:val="en"/>
        </w:rPr>
      </w:pPr>
      <w:r w:rsidRPr="0055615D">
        <w:rPr>
          <w:rFonts w:ascii="Georgia" w:eastAsia="Times New Roman" w:hAnsi="Georgia" w:cs="Segoe UI Semilight"/>
          <w:b/>
          <w:color w:val="262626"/>
          <w:sz w:val="28"/>
          <w:szCs w:val="28"/>
          <w:lang w:val="en"/>
        </w:rPr>
        <w:t>FHWA/NMDOT/ACHP/NM SHPO</w:t>
      </w:r>
    </w:p>
    <w:p w:rsidR="00026952" w:rsidRPr="0055615D" w:rsidRDefault="00026952" w:rsidP="00026952">
      <w:pPr>
        <w:spacing w:after="100" w:afterAutospacing="1" w:line="240" w:lineRule="auto"/>
        <w:contextualSpacing/>
        <w:rPr>
          <w:rFonts w:ascii="Georgia" w:eastAsia="Times New Roman" w:hAnsi="Georgia" w:cs="Segoe UI"/>
          <w:color w:val="444444"/>
          <w:lang w:val="en"/>
        </w:rPr>
      </w:pPr>
    </w:p>
    <w:p w:rsidR="00026952" w:rsidRPr="00D64578" w:rsidRDefault="00026952" w:rsidP="00026952">
      <w:pPr>
        <w:spacing w:before="100" w:beforeAutospacing="1" w:after="100" w:afterAutospacing="1" w:line="240" w:lineRule="auto"/>
        <w:contextualSpacing/>
        <w:rPr>
          <w:rFonts w:ascii="Georgia" w:eastAsia="Times New Roman" w:hAnsi="Georgia" w:cs="Tahoma"/>
          <w:color w:val="404040" w:themeColor="text1" w:themeTint="BF"/>
          <w:lang w:val="en"/>
        </w:rPr>
      </w:pPr>
      <w:r w:rsidRPr="00D64578">
        <w:rPr>
          <w:rFonts w:ascii="Georgia" w:eastAsia="Times New Roman" w:hAnsi="Georgia" w:cs="Tahoma"/>
          <w:color w:val="404040" w:themeColor="text1" w:themeTint="BF"/>
          <w:lang w:val="en"/>
        </w:rPr>
        <w:t>As an applicant for federal funding and permitting, the Federal Highway Administration (FHWA), New Mexico Division, must comply with Section 106 of the National Historic Preservation Act (NHPA) of 1966 (as amended). Section 106 requires federal agencies to consider the effects of their actions upon historic resources listed in or eligible for listing in the National Register of Historic Places when planning projects. Since the NHPA was passed, the FHWA, New Mexico Department of Transportation (NMDOT), and the New Mexico State Historic Preservation Officer (NM SHPO) have developed policies and procedures to facilitate the Section 106 review of transportation projects in New Mexico. These policies and procedures have been memorialized in a variety of agreement documents over these years. To create a more streamlined process for consultation, review and compliance with Section 106 of the NHPA, FHWA, NMDOT, NM SHPO, and Advisory Council on Historic Preservation (ACHP) have collaborated over the past year to consolidate past agreement documents and processes into one Programmatic Agreement (PA).</w:t>
      </w:r>
    </w:p>
    <w:p w:rsidR="00026952" w:rsidRPr="0055615D" w:rsidRDefault="00026952" w:rsidP="00026952">
      <w:pPr>
        <w:spacing w:after="0" w:line="240" w:lineRule="auto"/>
        <w:contextualSpacing/>
        <w:rPr>
          <w:rFonts w:ascii="Georgia" w:eastAsia="Times New Roman" w:hAnsi="Georgia" w:cs="Tahoma"/>
          <w:color w:val="444444"/>
          <w:lang w:val="en"/>
        </w:rPr>
      </w:pPr>
    </w:p>
    <w:p w:rsidR="00026952" w:rsidRDefault="00026952" w:rsidP="00026952">
      <w:pPr>
        <w:contextualSpacing/>
        <w:rPr>
          <w:rFonts w:ascii="Georgia" w:eastAsia="Times New Roman" w:hAnsi="Georgia" w:cs="Arial"/>
          <w:b/>
          <w:bCs/>
        </w:rPr>
      </w:pPr>
      <w:r w:rsidRPr="0055615D">
        <w:rPr>
          <w:rFonts w:ascii="Georgia" w:eastAsia="Times New Roman" w:hAnsi="Georgia" w:cs="Arial"/>
          <w:b/>
          <w:bCs/>
        </w:rPr>
        <w:t xml:space="preserve">Notice is hereby given </w:t>
      </w:r>
      <w:r w:rsidRPr="00D64578">
        <w:rPr>
          <w:rFonts w:ascii="Georgia" w:eastAsia="Times New Roman" w:hAnsi="Georgia" w:cs="Arial"/>
          <w:bCs/>
          <w:color w:val="404040" w:themeColor="text1" w:themeTint="BF"/>
        </w:rPr>
        <w:t>that</w:t>
      </w:r>
      <w:r w:rsidRPr="00D64578">
        <w:rPr>
          <w:rFonts w:ascii="Georgia" w:eastAsia="Times New Roman" w:hAnsi="Georgia" w:cs="Arial"/>
          <w:color w:val="404040" w:themeColor="text1" w:themeTint="BF"/>
        </w:rPr>
        <w:t xml:space="preserve"> the FHWA will now accept comments on the proposed draft </w:t>
      </w:r>
      <w:r w:rsidRPr="00D64578">
        <w:rPr>
          <w:rFonts w:ascii="Georgia" w:eastAsia="Times New Roman" w:hAnsi="Georgia" w:cs="Segoe UI Semilight"/>
          <w:color w:val="404040" w:themeColor="text1" w:themeTint="BF"/>
          <w:lang w:val="en"/>
        </w:rPr>
        <w:t xml:space="preserve">Section 106 PA </w:t>
      </w:r>
      <w:r w:rsidRPr="00D64578">
        <w:rPr>
          <w:rFonts w:ascii="Georgia" w:eastAsia="Times New Roman" w:hAnsi="Georgia" w:cs="Arial"/>
          <w:bCs/>
          <w:color w:val="404040" w:themeColor="text1" w:themeTint="BF"/>
        </w:rPr>
        <w:t>through</w:t>
      </w:r>
      <w:r w:rsidRPr="0055615D">
        <w:rPr>
          <w:rFonts w:ascii="Georgia" w:eastAsia="Times New Roman" w:hAnsi="Georgia" w:cs="Arial"/>
          <w:bCs/>
        </w:rPr>
        <w:t xml:space="preserve"> </w:t>
      </w:r>
      <w:r w:rsidR="007012D2">
        <w:rPr>
          <w:rFonts w:ascii="Georgia" w:eastAsia="Times New Roman" w:hAnsi="Georgia" w:cs="Arial"/>
          <w:b/>
          <w:bCs/>
        </w:rPr>
        <w:t>November 21</w:t>
      </w:r>
      <w:r w:rsidRPr="0055615D">
        <w:rPr>
          <w:rFonts w:ascii="Georgia" w:eastAsia="Times New Roman" w:hAnsi="Georgia" w:cs="Arial"/>
          <w:b/>
          <w:bCs/>
        </w:rPr>
        <w:t xml:space="preserve">, 2020. </w:t>
      </w:r>
    </w:p>
    <w:p w:rsidR="00026952" w:rsidRPr="0055615D" w:rsidRDefault="00026952" w:rsidP="00026952">
      <w:pPr>
        <w:contextualSpacing/>
        <w:rPr>
          <w:rFonts w:ascii="Georgia" w:eastAsia="Times New Roman" w:hAnsi="Georgia" w:cs="Arial"/>
        </w:rPr>
      </w:pPr>
    </w:p>
    <w:p w:rsidR="00026952" w:rsidRPr="00D64578" w:rsidRDefault="00026952" w:rsidP="00026952">
      <w:pPr>
        <w:spacing w:before="100" w:beforeAutospacing="1" w:after="100" w:afterAutospacing="1" w:line="240" w:lineRule="auto"/>
        <w:contextualSpacing/>
        <w:rPr>
          <w:rFonts w:ascii="Georgia" w:eastAsia="Times New Roman" w:hAnsi="Georgia" w:cs="Tahoma"/>
          <w:color w:val="404040" w:themeColor="text1" w:themeTint="BF"/>
          <w:lang w:val="en"/>
        </w:rPr>
      </w:pPr>
      <w:r w:rsidRPr="00D64578">
        <w:rPr>
          <w:rFonts w:ascii="Georgia" w:eastAsia="Times New Roman" w:hAnsi="Georgia" w:cs="Tahoma"/>
          <w:color w:val="404040" w:themeColor="text1" w:themeTint="BF"/>
          <w:lang w:val="en"/>
        </w:rPr>
        <w:t xml:space="preserve">To access the proposed draft </w:t>
      </w:r>
      <w:r>
        <w:rPr>
          <w:rFonts w:ascii="Georgia" w:eastAsia="Times New Roman" w:hAnsi="Georgia" w:cs="Tahoma"/>
          <w:color w:val="404040" w:themeColor="text1" w:themeTint="BF"/>
          <w:lang w:val="en"/>
        </w:rPr>
        <w:t xml:space="preserve">Section 106 </w:t>
      </w:r>
      <w:r w:rsidRPr="00D64578">
        <w:rPr>
          <w:rFonts w:ascii="Georgia" w:eastAsia="Times New Roman" w:hAnsi="Georgia" w:cs="Tahoma"/>
          <w:color w:val="404040" w:themeColor="text1" w:themeTint="BF"/>
          <w:lang w:val="en"/>
        </w:rPr>
        <w:t>PA, please</w:t>
      </w:r>
      <w:r>
        <w:rPr>
          <w:rFonts w:ascii="Georgia" w:eastAsia="Times New Roman" w:hAnsi="Georgia" w:cs="Tahoma"/>
          <w:color w:val="444444"/>
          <w:lang w:val="en"/>
        </w:rPr>
        <w:t xml:space="preserve"> </w:t>
      </w:r>
      <w:hyperlink r:id="rId5" w:history="1">
        <w:r>
          <w:rPr>
            <w:rStyle w:val="Hyperlink"/>
            <w:rFonts w:ascii="Georgia" w:eastAsia="Times New Roman" w:hAnsi="Georgia" w:cs="Tahoma"/>
            <w:b/>
            <w:lang w:val="en"/>
          </w:rPr>
          <w:t>CLICK</w:t>
        </w:r>
        <w:r w:rsidRPr="0055615D">
          <w:rPr>
            <w:rStyle w:val="Hyperlink"/>
            <w:rFonts w:ascii="Georgia" w:eastAsia="Times New Roman" w:hAnsi="Georgia" w:cs="Tahoma"/>
            <w:b/>
            <w:lang w:val="en"/>
          </w:rPr>
          <w:t xml:space="preserve"> </w:t>
        </w:r>
        <w:r>
          <w:rPr>
            <w:rStyle w:val="Hyperlink"/>
            <w:rFonts w:ascii="Georgia" w:eastAsia="Times New Roman" w:hAnsi="Georgia" w:cs="Tahoma"/>
            <w:b/>
            <w:lang w:val="en"/>
          </w:rPr>
          <w:t>HERE</w:t>
        </w:r>
      </w:hyperlink>
      <w:r w:rsidRPr="0055615D">
        <w:rPr>
          <w:rFonts w:ascii="Georgia" w:eastAsia="Times New Roman" w:hAnsi="Georgia" w:cs="Tahoma"/>
          <w:color w:val="444444"/>
          <w:lang w:val="en"/>
        </w:rPr>
        <w:t xml:space="preserve">. </w:t>
      </w:r>
      <w:r>
        <w:rPr>
          <w:rFonts w:ascii="Georgia" w:eastAsia="Times New Roman" w:hAnsi="Georgia" w:cs="Tahoma"/>
          <w:color w:val="444444"/>
          <w:lang w:val="en"/>
        </w:rPr>
        <w:t xml:space="preserve"> </w:t>
      </w:r>
      <w:r w:rsidRPr="00D64578">
        <w:rPr>
          <w:rFonts w:ascii="Georgia" w:eastAsia="Times New Roman" w:hAnsi="Georgia" w:cs="Tahoma"/>
          <w:color w:val="404040" w:themeColor="text1" w:themeTint="BF"/>
          <w:lang w:val="en"/>
        </w:rPr>
        <w:t>All comments should be emailed or mailed to the attention of the following representative:</w:t>
      </w:r>
    </w:p>
    <w:p w:rsidR="00026952" w:rsidRPr="00D64578" w:rsidRDefault="00026952" w:rsidP="00026952">
      <w:pPr>
        <w:spacing w:before="100" w:beforeAutospacing="1" w:after="100" w:afterAutospacing="1" w:line="240" w:lineRule="auto"/>
        <w:contextualSpacing/>
        <w:rPr>
          <w:rFonts w:ascii="Georgia" w:hAnsi="Georgia" w:cs="Arial"/>
          <w:b/>
          <w:bCs/>
          <w:color w:val="404040" w:themeColor="text1" w:themeTint="BF"/>
          <w:u w:val="single"/>
        </w:rPr>
      </w:pPr>
    </w:p>
    <w:p w:rsidR="00026952" w:rsidRPr="00D64578" w:rsidRDefault="00026952" w:rsidP="00026952">
      <w:pPr>
        <w:tabs>
          <w:tab w:val="left" w:pos="7788"/>
        </w:tabs>
        <w:spacing w:before="100" w:beforeAutospacing="1" w:after="100" w:afterAutospacing="1" w:line="240" w:lineRule="auto"/>
        <w:ind w:left="720"/>
        <w:contextualSpacing/>
        <w:rPr>
          <w:rFonts w:ascii="Georgia" w:hAnsi="Georgia" w:cs="Arial"/>
          <w:bCs/>
          <w:color w:val="404040" w:themeColor="text1" w:themeTint="BF"/>
        </w:rPr>
      </w:pPr>
      <w:r w:rsidRPr="00D64578">
        <w:rPr>
          <w:rFonts w:ascii="Georgia" w:hAnsi="Georgia" w:cs="Arial"/>
          <w:bCs/>
          <w:color w:val="404040" w:themeColor="text1" w:themeTint="BF"/>
        </w:rPr>
        <w:t xml:space="preserve">Greg </w:t>
      </w:r>
      <w:proofErr w:type="spellStart"/>
      <w:r w:rsidRPr="00D64578">
        <w:rPr>
          <w:rFonts w:ascii="Georgia" w:hAnsi="Georgia" w:cs="Arial"/>
          <w:bCs/>
          <w:color w:val="404040" w:themeColor="text1" w:themeTint="BF"/>
        </w:rPr>
        <w:t>Heitmann</w:t>
      </w:r>
      <w:proofErr w:type="spellEnd"/>
      <w:r w:rsidRPr="00D64578">
        <w:rPr>
          <w:rFonts w:ascii="Georgia" w:hAnsi="Georgia" w:cs="Arial"/>
          <w:bCs/>
          <w:color w:val="404040" w:themeColor="text1" w:themeTint="BF"/>
        </w:rPr>
        <w:t xml:space="preserve">, Environmental/Realty Specialist </w:t>
      </w:r>
      <w:r>
        <w:rPr>
          <w:rFonts w:ascii="Georgia" w:hAnsi="Georgia" w:cs="Arial"/>
          <w:bCs/>
          <w:color w:val="404040" w:themeColor="text1" w:themeTint="BF"/>
        </w:rPr>
        <w:tab/>
      </w:r>
    </w:p>
    <w:p w:rsidR="00026952" w:rsidRPr="00D64578" w:rsidRDefault="00026952" w:rsidP="00026952">
      <w:pPr>
        <w:spacing w:before="100" w:beforeAutospacing="1" w:after="100" w:afterAutospacing="1" w:line="240" w:lineRule="auto"/>
        <w:ind w:left="720"/>
        <w:contextualSpacing/>
        <w:rPr>
          <w:rFonts w:ascii="Georgia" w:hAnsi="Georgia"/>
          <w:color w:val="404040" w:themeColor="text1" w:themeTint="BF"/>
          <w:lang w:val="en"/>
        </w:rPr>
      </w:pPr>
      <w:r w:rsidRPr="00D64578">
        <w:rPr>
          <w:rFonts w:ascii="Georgia" w:hAnsi="Georgia"/>
          <w:color w:val="404040" w:themeColor="text1" w:themeTint="BF"/>
          <w:lang w:val="en"/>
        </w:rPr>
        <w:t>Federal Highway Administration</w:t>
      </w:r>
    </w:p>
    <w:p w:rsidR="00026952" w:rsidRPr="00D64578" w:rsidRDefault="00026952" w:rsidP="00026952">
      <w:pPr>
        <w:spacing w:before="100" w:beforeAutospacing="1" w:after="100" w:afterAutospacing="1" w:line="240" w:lineRule="auto"/>
        <w:ind w:left="720"/>
        <w:contextualSpacing/>
        <w:rPr>
          <w:rFonts w:ascii="Georgia" w:hAnsi="Georgia"/>
          <w:color w:val="404040" w:themeColor="text1" w:themeTint="BF"/>
          <w:lang w:val="en"/>
        </w:rPr>
      </w:pPr>
      <w:r w:rsidRPr="00D64578">
        <w:rPr>
          <w:rFonts w:ascii="Georgia" w:hAnsi="Georgia"/>
          <w:color w:val="404040" w:themeColor="text1" w:themeTint="BF"/>
          <w:lang w:val="en"/>
        </w:rPr>
        <w:t>New Mexico Division</w:t>
      </w:r>
    </w:p>
    <w:p w:rsidR="00026952" w:rsidRPr="00D64578" w:rsidRDefault="00026952" w:rsidP="00026952">
      <w:pPr>
        <w:spacing w:before="100" w:beforeAutospacing="1" w:after="100" w:afterAutospacing="1" w:line="240" w:lineRule="auto"/>
        <w:ind w:left="720"/>
        <w:contextualSpacing/>
        <w:rPr>
          <w:rFonts w:ascii="Georgia" w:hAnsi="Georgia"/>
          <w:color w:val="404040" w:themeColor="text1" w:themeTint="BF"/>
          <w:lang w:val="en"/>
        </w:rPr>
      </w:pPr>
      <w:r w:rsidRPr="00D64578">
        <w:rPr>
          <w:rFonts w:ascii="Georgia" w:hAnsi="Georgia"/>
          <w:color w:val="404040" w:themeColor="text1" w:themeTint="BF"/>
          <w:lang w:val="en"/>
        </w:rPr>
        <w:t>4001 Office Court Dr., Suite 801</w:t>
      </w:r>
    </w:p>
    <w:p w:rsidR="00026952" w:rsidRPr="00D64578" w:rsidRDefault="00026952" w:rsidP="00026952">
      <w:pPr>
        <w:spacing w:before="100" w:beforeAutospacing="1" w:after="100" w:afterAutospacing="1" w:line="240" w:lineRule="auto"/>
        <w:ind w:left="720"/>
        <w:contextualSpacing/>
        <w:rPr>
          <w:rFonts w:ascii="Georgia" w:hAnsi="Georgia" w:cs="Arial"/>
          <w:b/>
          <w:bCs/>
          <w:color w:val="404040" w:themeColor="text1" w:themeTint="BF"/>
          <w:u w:val="single"/>
        </w:rPr>
      </w:pPr>
      <w:r w:rsidRPr="00D64578">
        <w:rPr>
          <w:rFonts w:ascii="Georgia" w:hAnsi="Georgia"/>
          <w:color w:val="404040" w:themeColor="text1" w:themeTint="BF"/>
          <w:lang w:val="en"/>
        </w:rPr>
        <w:t>Santa Fe, NM 87507</w:t>
      </w:r>
    </w:p>
    <w:p w:rsidR="00026952" w:rsidRPr="00D64578" w:rsidRDefault="00026952" w:rsidP="00026952">
      <w:pPr>
        <w:spacing w:before="100" w:beforeAutospacing="1" w:after="100" w:afterAutospacing="1" w:line="240" w:lineRule="auto"/>
        <w:ind w:left="720"/>
        <w:contextualSpacing/>
        <w:rPr>
          <w:rFonts w:ascii="Georgia" w:hAnsi="Georgia" w:cs="Arial"/>
          <w:b/>
          <w:bCs/>
          <w:color w:val="404040" w:themeColor="text1" w:themeTint="BF"/>
          <w:u w:val="single"/>
        </w:rPr>
      </w:pPr>
      <w:r w:rsidRPr="00D64578">
        <w:rPr>
          <w:rFonts w:ascii="Georgia" w:hAnsi="Georgia"/>
          <w:color w:val="404040" w:themeColor="text1" w:themeTint="BF"/>
        </w:rPr>
        <w:t>PHONE:  505-660-7626</w:t>
      </w:r>
    </w:p>
    <w:p w:rsidR="00026952" w:rsidRDefault="00026952" w:rsidP="00026952">
      <w:pPr>
        <w:spacing w:before="100" w:beforeAutospacing="1" w:after="100" w:afterAutospacing="1" w:line="240" w:lineRule="auto"/>
        <w:ind w:left="720"/>
        <w:contextualSpacing/>
        <w:rPr>
          <w:rFonts w:ascii="Georgia" w:eastAsia="Times New Roman" w:hAnsi="Georgia" w:cs="Tahoma"/>
          <w:color w:val="404040" w:themeColor="text1" w:themeTint="BF"/>
          <w:lang w:val="en"/>
        </w:rPr>
      </w:pPr>
      <w:r w:rsidRPr="00D64578">
        <w:rPr>
          <w:rFonts w:ascii="Georgia" w:eastAsia="Times New Roman" w:hAnsi="Georgia" w:cs="Tahoma"/>
          <w:color w:val="404040" w:themeColor="text1" w:themeTint="BF"/>
          <w:lang w:val="en"/>
        </w:rPr>
        <w:t xml:space="preserve">EMAIL:  </w:t>
      </w:r>
      <w:hyperlink r:id="rId6" w:history="1">
        <w:r w:rsidRPr="00995D46">
          <w:rPr>
            <w:rStyle w:val="Hyperlink"/>
            <w:rFonts w:ascii="Georgia" w:eastAsia="Times New Roman" w:hAnsi="Georgia" w:cs="Tahoma"/>
            <w:color w:val="1A89F9" w:themeColor="hyperlink" w:themeTint="BF"/>
            <w:lang w:val="en"/>
          </w:rPr>
          <w:t>greg.heitmann@dot.gov</w:t>
        </w:r>
      </w:hyperlink>
    </w:p>
    <w:p w:rsidR="000A12AA" w:rsidRDefault="000A12AA" w:rsidP="000A12AA">
      <w:pPr>
        <w:shd w:val="clear" w:color="auto" w:fill="FFFFFF"/>
        <w:spacing w:after="0" w:line="240" w:lineRule="auto"/>
        <w:jc w:val="left"/>
        <w:rPr>
          <w:rFonts w:ascii="Georgia" w:eastAsia="Times New Roman" w:hAnsi="Georgia" w:cs="Segoe UI"/>
          <w:color w:val="212121"/>
          <w:sz w:val="24"/>
          <w:szCs w:val="24"/>
        </w:rPr>
      </w:pPr>
    </w:p>
    <w:p w:rsidR="000A12AA" w:rsidRDefault="000A12AA" w:rsidP="000A12AA">
      <w:pPr>
        <w:pStyle w:val="NormalWeb"/>
        <w:jc w:val="center"/>
        <w:rPr>
          <w:rFonts w:ascii="Georgia" w:hAnsi="Georgia" w:cs="Calibri"/>
          <w:color w:val="000000"/>
        </w:rPr>
      </w:pPr>
      <w:r>
        <w:rPr>
          <w:rFonts w:ascii="Georgia" w:hAnsi="Georgia" w:cs="Calibri"/>
          <w:color w:val="000000"/>
        </w:rPr>
        <w:t>###</w:t>
      </w:r>
    </w:p>
    <w:p w:rsidR="00832534" w:rsidRPr="0089760F" w:rsidRDefault="00832534" w:rsidP="00832534">
      <w:pPr>
        <w:spacing w:after="0"/>
        <w:jc w:val="center"/>
        <w:rPr>
          <w:rFonts w:ascii="Georgia" w:hAnsi="Georgia" w:cs="Times New Roman"/>
          <w:b/>
          <w:bCs/>
          <w:color w:val="1F497D"/>
          <w:sz w:val="24"/>
          <w:szCs w:val="24"/>
        </w:rPr>
      </w:pPr>
      <w:bookmarkStart w:id="0" w:name="_GoBack"/>
      <w:bookmarkEnd w:id="0"/>
      <w:r w:rsidRPr="0089760F">
        <w:rPr>
          <w:rFonts w:ascii="Georgia" w:hAnsi="Georgia" w:cs="Times New Roman"/>
          <w:b/>
          <w:bCs/>
          <w:color w:val="1F497D"/>
          <w:sz w:val="24"/>
          <w:szCs w:val="24"/>
        </w:rPr>
        <w:t>NMDOT</w:t>
      </w:r>
    </w:p>
    <w:p w:rsidR="00832534" w:rsidRPr="0089760F" w:rsidRDefault="00832534" w:rsidP="00832534">
      <w:pPr>
        <w:spacing w:after="0"/>
        <w:jc w:val="center"/>
        <w:rPr>
          <w:rFonts w:ascii="Georgia" w:hAnsi="Georgia" w:cs="Times New Roman"/>
          <w:i/>
          <w:iCs/>
          <w:color w:val="1F497D"/>
          <w:sz w:val="24"/>
          <w:szCs w:val="24"/>
        </w:rPr>
      </w:pPr>
      <w:r w:rsidRPr="0089760F">
        <w:rPr>
          <w:rFonts w:ascii="Georgia" w:hAnsi="Georgia" w:cs="Times New Roman"/>
          <w:i/>
          <w:iCs/>
          <w:color w:val="1F497D"/>
          <w:sz w:val="24"/>
          <w:szCs w:val="24"/>
        </w:rPr>
        <w:t>Mobility for everyone</w:t>
      </w:r>
    </w:p>
    <w:p w:rsidR="00832534" w:rsidRDefault="00832534" w:rsidP="00832534">
      <w:pPr>
        <w:jc w:val="center"/>
      </w:pPr>
      <w:r>
        <w:rPr>
          <w:noProof/>
        </w:rPr>
        <w:drawing>
          <wp:inline distT="0" distB="0" distL="0" distR="0" wp14:anchorId="59FCF044" wp14:editId="579A59F0">
            <wp:extent cx="6858014" cy="4572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 footer - Marisa (box with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14" cy="457201"/>
                    </a:xfrm>
                    <a:prstGeom prst="rect">
                      <a:avLst/>
                    </a:prstGeom>
                  </pic:spPr>
                </pic:pic>
              </a:graphicData>
            </a:graphic>
          </wp:inline>
        </w:drawing>
      </w:r>
    </w:p>
    <w:p w:rsidR="00832534" w:rsidRDefault="00832534" w:rsidP="00832534"/>
    <w:p w:rsidR="000A71CA" w:rsidRDefault="000A71CA" w:rsidP="00832534">
      <w:pPr>
        <w:spacing w:after="0"/>
        <w:jc w:val="center"/>
      </w:pPr>
    </w:p>
    <w:sectPr w:rsidR="000A71CA" w:rsidSect="000A7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CA"/>
    <w:rsid w:val="00026952"/>
    <w:rsid w:val="000A12AA"/>
    <w:rsid w:val="000A71CA"/>
    <w:rsid w:val="0015284B"/>
    <w:rsid w:val="00427D6E"/>
    <w:rsid w:val="00636F37"/>
    <w:rsid w:val="007012D2"/>
    <w:rsid w:val="007534F3"/>
    <w:rsid w:val="00832534"/>
    <w:rsid w:val="00887EA5"/>
    <w:rsid w:val="00930C14"/>
    <w:rsid w:val="009D17D3"/>
    <w:rsid w:val="00C47107"/>
    <w:rsid w:val="00D43213"/>
    <w:rsid w:val="00D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1C22-EA32-4A02-B881-28BC6A45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CA"/>
    <w:pPr>
      <w:spacing w:after="160"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1CA"/>
    <w:pPr>
      <w:jc w:val="both"/>
    </w:pPr>
    <w:rPr>
      <w:rFonts w:eastAsiaTheme="minorEastAsia"/>
    </w:rPr>
  </w:style>
  <w:style w:type="paragraph" w:styleId="NormalWeb">
    <w:name w:val="Normal (Web)"/>
    <w:basedOn w:val="Normal"/>
    <w:uiPriority w:val="99"/>
    <w:unhideWhenUsed/>
    <w:rsid w:val="000A12AA"/>
    <w:rPr>
      <w:rFonts w:ascii="Times New Roman" w:hAnsi="Times New Roman" w:cs="Times New Roman"/>
      <w:sz w:val="24"/>
      <w:szCs w:val="24"/>
    </w:rPr>
  </w:style>
  <w:style w:type="character" w:styleId="Hyperlink">
    <w:name w:val="Hyperlink"/>
    <w:basedOn w:val="DefaultParagraphFont"/>
    <w:uiPriority w:val="99"/>
    <w:unhideWhenUsed/>
    <w:rsid w:val="00026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heitmann@dot.gov" TargetMode="External"/><Relationship Id="rId5" Type="http://schemas.openxmlformats.org/officeDocument/2006/relationships/hyperlink" Target="https://dot.state.nm.us/content/dam/nmdot/Infrastructure/EDS/FHWA_NMDOT_ACHP_SHPO_%20PA-FINAL_DRAFT_14_OCT_2020.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Fierro</dc:creator>
  <cp:keywords/>
  <dc:description/>
  <cp:lastModifiedBy>Ami Evans</cp:lastModifiedBy>
  <cp:revision>2</cp:revision>
  <dcterms:created xsi:type="dcterms:W3CDTF">2020-10-21T14:56:00Z</dcterms:created>
  <dcterms:modified xsi:type="dcterms:W3CDTF">2020-10-21T14:56:00Z</dcterms:modified>
</cp:coreProperties>
</file>